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УКАЗ</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ГУБЕРНАТОРА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ОБ УТВЕРЖДЕНИИ ПОЛОЖЕНИЯ О БЛАГОДАРНОСТИ ГУБЕРНАТОРА</w:t>
      </w:r>
    </w:p>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1. Утвердить прилагаемое Положение о Благодарности Губернатора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2. Утвердить прилагаемую форму бланка Благодарности Губернатора Новгородской области (не приводится).</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3. Указ вступает в силу со дня, следующего за днем его официального опубликования.</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4. Опубликовать указ в газете "Новгородские ведомости".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Губернатор области</w:t>
      </w: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М.М.ПРУСАК</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Default="00D33DA7" w:rsidP="00D33DA7">
      <w:pPr>
        <w:shd w:val="clear" w:color="auto" w:fill="FFFFFF"/>
        <w:spacing w:before="75" w:after="75" w:line="240" w:lineRule="auto"/>
        <w:jc w:val="right"/>
        <w:rPr>
          <w:rFonts w:ascii="Tahoma" w:eastAsia="Times New Roman" w:hAnsi="Tahoma" w:cs="Tahoma"/>
          <w:color w:val="474145"/>
          <w:sz w:val="20"/>
          <w:szCs w:val="20"/>
          <w:lang w:val="en-US" w:eastAsia="ru-RU"/>
        </w:rPr>
      </w:pP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bookmarkStart w:id="0" w:name="_GoBack"/>
      <w:bookmarkEnd w:id="0"/>
      <w:r w:rsidRPr="00D33DA7">
        <w:rPr>
          <w:rFonts w:ascii="Tahoma" w:eastAsia="Times New Roman" w:hAnsi="Tahoma" w:cs="Tahoma"/>
          <w:color w:val="474145"/>
          <w:sz w:val="20"/>
          <w:szCs w:val="20"/>
          <w:lang w:eastAsia="ru-RU"/>
        </w:rPr>
        <w:lastRenderedPageBreak/>
        <w:t>Утверждено</w:t>
      </w: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Указом</w:t>
      </w: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Губернатора области</w:t>
      </w:r>
    </w:p>
    <w:p w:rsidR="00D33DA7" w:rsidRPr="00D33DA7" w:rsidRDefault="00D33DA7" w:rsidP="00D33DA7">
      <w:pPr>
        <w:shd w:val="clear" w:color="auto" w:fill="FFFFFF"/>
        <w:spacing w:before="75" w:after="75" w:line="240" w:lineRule="auto"/>
        <w:jc w:val="right"/>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от 19.12.2005 N 217</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ПОЛОЖЕНИЕ</w:t>
      </w:r>
    </w:p>
    <w:p w:rsidR="00D33DA7" w:rsidRPr="00D33DA7" w:rsidRDefault="00D33DA7" w:rsidP="00D33DA7">
      <w:pPr>
        <w:shd w:val="clear" w:color="auto" w:fill="FFFFFF"/>
        <w:spacing w:after="0" w:line="240" w:lineRule="auto"/>
        <w:jc w:val="center"/>
        <w:rPr>
          <w:rFonts w:ascii="Tahoma" w:eastAsia="Times New Roman" w:hAnsi="Tahoma" w:cs="Tahoma"/>
          <w:color w:val="474145"/>
          <w:sz w:val="20"/>
          <w:szCs w:val="20"/>
          <w:lang w:eastAsia="ru-RU"/>
        </w:rPr>
      </w:pPr>
      <w:r w:rsidRPr="00D33DA7">
        <w:rPr>
          <w:rFonts w:ascii="Tahoma" w:eastAsia="Times New Roman" w:hAnsi="Tahoma" w:cs="Tahoma"/>
          <w:b/>
          <w:bCs/>
          <w:color w:val="474145"/>
          <w:sz w:val="20"/>
          <w:szCs w:val="20"/>
          <w:lang w:eastAsia="ru-RU"/>
        </w:rPr>
        <w:t>О БЛАГОДАРНОСТИ ГУБЕРНАТОРА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1. Благодарностью Губернатора Новгородской области (далее - Благодарность) награждаются организации, физические лица за высокие достижения в профессиональной или общественной деятельности, безупречную и эффективную гражданскую службу, особые заслуги, многолетний добросовестный труд, в том числе в связи с юбилейными датами.</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Юбилейными датами считаются:</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для организаций - 50 лет и далее каждые 50 лет;</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для физических лиц - 50 лет и далее каждые 5 лет.</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Физические лица, представляемые к награждению Благодарностью, должны быть ранее награждены, как правило, Почетной грамотой Администрации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2. Инициаторами награждения Благодарностью помимо Губернатора области могут выступать первый заместитель Главы администрации области, заместители Главы администрации области, руководители комитетов, управлений области, органы местного самоуправления муниципальных районов, городского округа, организации.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3. Решение о награждении Благодарностью принимается Губернатором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4. В исключительных случаях Губернатор области принимает решение о награждении Благодарностью без учета условий, предусмотренных абзацем 5 пункта 1 настоящего Положения.</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5. Награждение Благодарностью производится от имени Губернатора области по представлению (ходатайству) первого заместителя Главы администрации области, заместителей Главы администрации области, руководителей комитетов, управлений области, выборных должностных лиц органов местного самоуправления муниципальных районов, городского округа и руководителей организаций.</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Представления комитетов, управлений области, органов местного самоуправления и организаций должны быть согласованы с первым заместителем Главы администрации области или заместителем Главы администрации области, координирующим деятельность и организующим взаимодействие органов исполнительной власти области и организаций, входящих в сферу его компетенции.</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Представления комитетов и управлений области должны быть согласованы с выборными должностными лицами органов местного самоуправления муниципальных районов, городского округа, за исключением представлений на работников органов государственной власти области и организаций государственной формы собственности.</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lastRenderedPageBreak/>
        <w:t>Представления организаций, как правило, должны быть согласованы с выборными должностными лицами органов местного самоуправления и руководителями комитетов, управлений области соответствующей сферы деятельности.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6. Для принятия решения о награждении физического лица Благодарностью в Администрацию области представляются следующие документы:</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характеристика производственной, научной, общественной деятельности и других заслуг физического лица;</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копия документа о награждении Почетной грамотой Администрации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7. Для принятия решения о награждении организации Благодарностью в Администрацию области представляются следующие документы:</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характеристика производственной, научной, общественной деятельности трудового коллектива организации.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8. Документы представляются в Администрацию области за месяц до предполагаемой даты награждения. В ходатайстве о награждении Благодарностью в связи с юбилейными датами должна быть указана дата юбилея.</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 xml:space="preserve">9. Оформление Благодарности и учет </w:t>
      </w:r>
      <w:proofErr w:type="gramStart"/>
      <w:r w:rsidRPr="00D33DA7">
        <w:rPr>
          <w:rFonts w:ascii="Tahoma" w:eastAsia="Times New Roman" w:hAnsi="Tahoma" w:cs="Tahoma"/>
          <w:color w:val="474145"/>
          <w:sz w:val="20"/>
          <w:szCs w:val="20"/>
          <w:lang w:eastAsia="ru-RU"/>
        </w:rPr>
        <w:t>награжденных</w:t>
      </w:r>
      <w:proofErr w:type="gramEnd"/>
      <w:r w:rsidRPr="00D33DA7">
        <w:rPr>
          <w:rFonts w:ascii="Tahoma" w:eastAsia="Times New Roman" w:hAnsi="Tahoma" w:cs="Tahoma"/>
          <w:color w:val="474145"/>
          <w:sz w:val="20"/>
          <w:szCs w:val="20"/>
          <w:lang w:eastAsia="ru-RU"/>
        </w:rPr>
        <w:t xml:space="preserve"> осуществляются комитетом государственной гражданской службы Новгородской области на основании резолюции Губернатора области на ходатайстве о награждении Благодарностью.</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10. Бланки Благодарности изготавливаются управлением делопроизводства и архива аппарата Администрации области по заявкам комитета государственной гражданской службы Новгородской области.</w:t>
      </w:r>
    </w:p>
    <w:p w:rsidR="00D33DA7" w:rsidRPr="00D33DA7" w:rsidRDefault="00D33DA7" w:rsidP="00D33DA7">
      <w:pPr>
        <w:spacing w:after="0" w:line="240" w:lineRule="auto"/>
        <w:rPr>
          <w:rFonts w:ascii="Times New Roman" w:eastAsia="Times New Roman" w:hAnsi="Times New Roman" w:cs="Times New Roman"/>
          <w:sz w:val="24"/>
          <w:szCs w:val="24"/>
          <w:lang w:eastAsia="ru-RU"/>
        </w:rPr>
      </w:pPr>
      <w:r w:rsidRPr="00D33DA7">
        <w:rPr>
          <w:rFonts w:ascii="Tahoma" w:eastAsia="Times New Roman" w:hAnsi="Tahoma" w:cs="Tahoma"/>
          <w:color w:val="474145"/>
          <w:sz w:val="20"/>
          <w:szCs w:val="20"/>
          <w:lang w:eastAsia="ru-RU"/>
        </w:rPr>
        <w:br/>
      </w:r>
      <w:r w:rsidRPr="00D33DA7">
        <w:rPr>
          <w:rFonts w:ascii="Tahoma" w:eastAsia="Times New Roman" w:hAnsi="Tahoma" w:cs="Tahoma"/>
          <w:color w:val="474145"/>
          <w:sz w:val="20"/>
          <w:szCs w:val="20"/>
          <w:lang w:eastAsia="ru-RU"/>
        </w:rPr>
        <w:br/>
      </w:r>
    </w:p>
    <w:p w:rsidR="00D33DA7" w:rsidRPr="00D33DA7" w:rsidRDefault="00D33DA7" w:rsidP="00D33DA7">
      <w:pPr>
        <w:shd w:val="clear" w:color="auto" w:fill="FFFFFF"/>
        <w:spacing w:before="75" w:after="75" w:line="240" w:lineRule="auto"/>
        <w:jc w:val="both"/>
        <w:rPr>
          <w:rFonts w:ascii="Tahoma" w:eastAsia="Times New Roman" w:hAnsi="Tahoma" w:cs="Tahoma"/>
          <w:color w:val="474145"/>
          <w:sz w:val="20"/>
          <w:szCs w:val="20"/>
          <w:lang w:eastAsia="ru-RU"/>
        </w:rPr>
      </w:pPr>
      <w:r w:rsidRPr="00D33DA7">
        <w:rPr>
          <w:rFonts w:ascii="Tahoma" w:eastAsia="Times New Roman" w:hAnsi="Tahoma" w:cs="Tahoma"/>
          <w:color w:val="474145"/>
          <w:sz w:val="20"/>
          <w:szCs w:val="20"/>
          <w:lang w:eastAsia="ru-RU"/>
        </w:rPr>
        <w:t>11. Вручение Благодарности осуществляется Губернатором области или по его поручению другим должностным лицом.</w:t>
      </w:r>
    </w:p>
    <w:p w:rsidR="00075563" w:rsidRDefault="00075563"/>
    <w:sectPr w:rsidR="00075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C0"/>
    <w:rsid w:val="00075563"/>
    <w:rsid w:val="007C7FC0"/>
    <w:rsid w:val="00D3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D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2</cp:revision>
  <dcterms:created xsi:type="dcterms:W3CDTF">2013-06-21T05:48:00Z</dcterms:created>
  <dcterms:modified xsi:type="dcterms:W3CDTF">2013-06-21T05:48:00Z</dcterms:modified>
</cp:coreProperties>
</file>